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56" w:rsidRPr="00146A47" w:rsidRDefault="00126856" w:rsidP="00126856">
      <w:pPr>
        <w:rPr>
          <w:color w:val="00B050"/>
          <w:sz w:val="32"/>
          <w:szCs w:val="32"/>
        </w:rPr>
      </w:pPr>
      <w:r w:rsidRPr="00146A47">
        <w:rPr>
          <w:color w:val="00B050"/>
          <w:sz w:val="32"/>
          <w:szCs w:val="32"/>
        </w:rPr>
        <w:t>ANEXO 12 – RPPS</w:t>
      </w:r>
    </w:p>
    <w:p w:rsidR="00126856" w:rsidRDefault="00126856" w:rsidP="00126856">
      <w:r w:rsidRPr="004F725C">
        <w:t>Os dados apresentados compreendem os órgãos da Administração Direta do Município, no que tange à previsão e execução das receitas e despesas orçamentárias, cujo detalhamento atende as especificações da Portaria Interministerial STN/SOF nº 163/2001 e respectivas alterações, de igual forma, foram observados os detalhamentos estabelecidos pelo TCE.  Os repasses financeiros e as contribuições do Poder Executivo ao RPPS foram registrados nas devidas contas contábeis, respeitando os prazos. Os restos a pagar do RPPS foram classificados em Processados e Não Processados em conformidade a IN 18/</w:t>
      </w:r>
      <w:proofErr w:type="gramStart"/>
      <w:r w:rsidRPr="004F725C">
        <w:t>15  e</w:t>
      </w:r>
      <w:proofErr w:type="gramEnd"/>
      <w:r w:rsidRPr="004F725C">
        <w:t xml:space="preserve"> considerando os preceitos do TCE de acordo com a  lei 101/2000.</w:t>
      </w:r>
    </w:p>
    <w:p w:rsidR="00126856" w:rsidRDefault="00126856" w:rsidP="00126856">
      <w:r>
        <w:t>Acesse as demais notas explicativas no endereço:</w:t>
      </w:r>
    </w:p>
    <w:p w:rsidR="00126856" w:rsidRDefault="00126856" w:rsidP="00126856">
      <w:hyperlink r:id="rId4" w:history="1">
        <w:r w:rsidRPr="008129C4">
          <w:rPr>
            <w:rStyle w:val="Hyperlink"/>
          </w:rPr>
          <w:t>https://www.saomartinho.rs.gov.br</w:t>
        </w:r>
      </w:hyperlink>
    </w:p>
    <w:p w:rsidR="00401CB9" w:rsidRDefault="00401CB9">
      <w:bookmarkStart w:id="0" w:name="_GoBack"/>
      <w:bookmarkEnd w:id="0"/>
    </w:p>
    <w:p w:rsidR="00126856" w:rsidRPr="00E4149D" w:rsidRDefault="00126856" w:rsidP="00126856">
      <w:pPr>
        <w:rPr>
          <w:color w:val="00B050"/>
          <w:sz w:val="32"/>
          <w:szCs w:val="32"/>
        </w:rPr>
      </w:pPr>
      <w:r w:rsidRPr="00E4149D">
        <w:rPr>
          <w:color w:val="00B050"/>
          <w:sz w:val="32"/>
          <w:szCs w:val="32"/>
        </w:rPr>
        <w:t>ANEXO 13 – RPPS</w:t>
      </w:r>
    </w:p>
    <w:p w:rsidR="00126856" w:rsidRDefault="00126856" w:rsidP="00126856">
      <w:r w:rsidRPr="003E581D">
        <w:t xml:space="preserve">As receitas oriundas de contribuições e aplicações financeiras oram devidamente alocadas, </w:t>
      </w:r>
      <w:proofErr w:type="gramStart"/>
      <w:r w:rsidRPr="003E581D">
        <w:t>Os</w:t>
      </w:r>
      <w:proofErr w:type="gramEnd"/>
      <w:r w:rsidRPr="003E581D">
        <w:t xml:space="preserve"> restos a pagar foram classificados em processados e não processados e inscritos, quanto aos recebimentos e pagamentos extra</w:t>
      </w:r>
      <w:r>
        <w:t xml:space="preserve"> </w:t>
      </w:r>
      <w:r w:rsidRPr="003E581D">
        <w:t>orçamentários: os itens desses grupos correspondem aos ingressos e dispêndios que na forma do par. único do art. 3º a art. 103 da Lei Federal nº 4320/64 não transitam pelo orçamento.</w:t>
      </w:r>
    </w:p>
    <w:p w:rsidR="00126856" w:rsidRDefault="00126856" w:rsidP="00126856">
      <w:r>
        <w:t>Acesse as demais notas explicativas no endereço:</w:t>
      </w:r>
    </w:p>
    <w:p w:rsidR="00126856" w:rsidRDefault="00126856" w:rsidP="00126856">
      <w:hyperlink r:id="rId5" w:history="1">
        <w:r w:rsidRPr="008129C4">
          <w:rPr>
            <w:rStyle w:val="Hyperlink"/>
          </w:rPr>
          <w:t>https://www.saomartinho.rs.gov.br</w:t>
        </w:r>
      </w:hyperlink>
    </w:p>
    <w:p w:rsidR="00126856" w:rsidRPr="00343162" w:rsidRDefault="00126856" w:rsidP="00126856">
      <w:pPr>
        <w:rPr>
          <w:color w:val="00B050"/>
          <w:sz w:val="32"/>
          <w:szCs w:val="32"/>
        </w:rPr>
      </w:pPr>
      <w:r w:rsidRPr="00343162">
        <w:rPr>
          <w:color w:val="00B050"/>
          <w:sz w:val="32"/>
          <w:szCs w:val="32"/>
        </w:rPr>
        <w:t>Anexo 14 – RPPS</w:t>
      </w:r>
    </w:p>
    <w:p w:rsidR="00126856" w:rsidRDefault="00126856" w:rsidP="00126856">
      <w:r>
        <w:t xml:space="preserve">O </w:t>
      </w:r>
      <w:r w:rsidRPr="0049123C">
        <w:t>Município de São Martinho, entidade jurídica de direito público, é compreendid</w:t>
      </w:r>
      <w:r>
        <w:t>o</w:t>
      </w:r>
      <w:r w:rsidRPr="0049123C">
        <w:t>, na Administração Direta, pelos órgãos sem personalidade jurídica do Poder Executivo, composto por secretarias municipais, Fundos Especiais e o Poder Legislativo.</w:t>
      </w:r>
    </w:p>
    <w:p w:rsidR="00126856" w:rsidRDefault="00126856" w:rsidP="00126856">
      <w:r w:rsidRPr="0049123C">
        <w:t xml:space="preserve">Apresentação das Demonstrações contábeis: O Balanço Patrimonial e demais demonstrações contábeis foram elaboradas em observância com os dispositivos legais que regulam o assunto, em especial a Lei nº 4320/64, a Lei complementar nº 101/2000, os Princípios de Contabilidade, as </w:t>
      </w:r>
      <w:proofErr w:type="spellStart"/>
      <w:r w:rsidRPr="0049123C">
        <w:t>NBCTs</w:t>
      </w:r>
      <w:proofErr w:type="spellEnd"/>
      <w:r w:rsidRPr="0049123C">
        <w:t>, o MCASP e demais disposições normativas vigentes.</w:t>
      </w:r>
    </w:p>
    <w:p w:rsidR="00126856" w:rsidRDefault="00126856" w:rsidP="00126856">
      <w:r w:rsidRPr="0049123C">
        <w:t xml:space="preserve"> Investimentos e Aplicações Temporárias a Curto Prazo: os saldos apresentados no corpo da demonstração se referem aos valores líquidos, já descontadas as perdas, bem como as aplicações das disponibilidades de RPPS, as quais </w:t>
      </w:r>
      <w:r>
        <w:t>tiveram acompanhamento intenso do comitê gestor.</w:t>
      </w:r>
    </w:p>
    <w:p w:rsidR="00126856" w:rsidRDefault="00126856" w:rsidP="00126856">
      <w:r w:rsidRPr="0049123C">
        <w:t xml:space="preserve">Os bens adquiridos foram incorporados ao Patrimonio e depreciados em consonância as tabelas e vida útil. </w:t>
      </w:r>
    </w:p>
    <w:p w:rsidR="00126856" w:rsidRDefault="00126856" w:rsidP="00126856">
      <w:r w:rsidRPr="0049123C">
        <w:lastRenderedPageBreak/>
        <w:t>De acordo com o MCASP os ajustes de exercícios anteriores são relacionados com registros decorrentes de efeitos de mudança de critério contábil, omissão de registro, ou retificação de erro imputável a determinado exercício anterior</w:t>
      </w:r>
      <w:r>
        <w:t>, assim este grupo de contas recebeu lançamentos</w:t>
      </w:r>
      <w:r w:rsidRPr="0049123C">
        <w:t xml:space="preserve">. </w:t>
      </w:r>
    </w:p>
    <w:p w:rsidR="00126856" w:rsidRDefault="00126856" w:rsidP="00126856">
      <w:r>
        <w:t>Acesse as demais notas explicativas no endereço:</w:t>
      </w:r>
    </w:p>
    <w:p w:rsidR="00126856" w:rsidRDefault="00126856" w:rsidP="00126856">
      <w:hyperlink r:id="rId6" w:history="1">
        <w:r w:rsidRPr="008129C4">
          <w:rPr>
            <w:rStyle w:val="Hyperlink"/>
          </w:rPr>
          <w:t>https://www.saomartinho.rs.gov.br</w:t>
        </w:r>
      </w:hyperlink>
    </w:p>
    <w:p w:rsidR="00126856" w:rsidRDefault="00126856" w:rsidP="00126856"/>
    <w:p w:rsidR="00126856" w:rsidRPr="00F06053" w:rsidRDefault="00126856" w:rsidP="00126856">
      <w:pPr>
        <w:spacing w:after="0" w:line="240" w:lineRule="auto"/>
        <w:jc w:val="both"/>
        <w:rPr>
          <w:rFonts w:ascii="Calibri" w:eastAsia="Times New Roman" w:hAnsi="Calibri" w:cs="Arial"/>
          <w:color w:val="00B050"/>
          <w:sz w:val="32"/>
          <w:szCs w:val="32"/>
          <w:lang w:eastAsia="pt-BR"/>
        </w:rPr>
      </w:pPr>
      <w:r w:rsidRPr="00F06053">
        <w:rPr>
          <w:rFonts w:ascii="Calibri" w:eastAsia="Times New Roman" w:hAnsi="Calibri" w:cs="Arial"/>
          <w:color w:val="00B050"/>
          <w:sz w:val="32"/>
          <w:szCs w:val="32"/>
          <w:lang w:eastAsia="pt-BR"/>
        </w:rPr>
        <w:t>Anexo 15 – RPPS</w:t>
      </w:r>
    </w:p>
    <w:p w:rsidR="00126856" w:rsidRDefault="00126856" w:rsidP="00126856">
      <w:pPr>
        <w:spacing w:after="0" w:line="240" w:lineRule="auto"/>
        <w:jc w:val="both"/>
        <w:rPr>
          <w:rFonts w:ascii="Calibri" w:eastAsia="Times New Roman" w:hAnsi="Calibri" w:cs="Arial"/>
          <w:lang w:eastAsia="pt-BR"/>
        </w:rPr>
      </w:pPr>
    </w:p>
    <w:p w:rsidR="00126856" w:rsidRPr="00C3691D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Valorização e Ganhos com Ativos e Desincorporação de Passivos</w:t>
      </w:r>
      <w:r w:rsidRPr="00C3691D">
        <w:rPr>
          <w:rFonts w:eastAsia="Times New Roman" w:cs="Arial"/>
          <w:bCs/>
          <w:lang w:eastAsia="pt-BR"/>
        </w:rPr>
        <w:t>:  em relação a esse item cabe destacar que, em razão do processo de convergência aos padrões de contabilidade estabelecido pelas NBCASP, e de acordo com o MCASP</w:t>
      </w:r>
      <w:r>
        <w:rPr>
          <w:rFonts w:eastAsia="Times New Roman" w:cs="Arial"/>
          <w:bCs/>
          <w:lang w:eastAsia="pt-BR"/>
        </w:rPr>
        <w:t xml:space="preserve">. </w:t>
      </w:r>
      <w:r w:rsidRPr="00C3691D">
        <w:rPr>
          <w:rFonts w:eastAsia="Times New Roman" w:cs="Arial"/>
          <w:bCs/>
          <w:lang w:eastAsia="pt-BR"/>
        </w:rPr>
        <w:t xml:space="preserve"> </w:t>
      </w:r>
    </w:p>
    <w:p w:rsidR="00126856" w:rsidRPr="00C3691D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Outras Variações Patrimoniais Aumentativas</w:t>
      </w:r>
      <w:r w:rsidRPr="00C3691D">
        <w:rPr>
          <w:rFonts w:eastAsia="Times New Roman" w:cs="Arial"/>
          <w:bCs/>
          <w:lang w:eastAsia="pt-BR"/>
        </w:rPr>
        <w:t xml:space="preserve">: compreende o somatório das demais variações patrimoniais aumentativas não incluídas (classificadas) nos grupos anteriores. </w:t>
      </w:r>
    </w:p>
    <w:p w:rsidR="00126856" w:rsidRPr="00C3691D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C3691D">
        <w:rPr>
          <w:rFonts w:eastAsia="Times New Roman" w:cs="Arial"/>
          <w:bCs/>
          <w:lang w:eastAsia="pt-BR"/>
        </w:rPr>
        <w:t xml:space="preserve">Desvalorização e Perdas de Ativos e Incorporação de Passivos: Contempla os registros da reavaliação do ativo imobilizado, da depreciação, amortização. Os bens foram depreciados em conformidade a legislação aplicando os índices e tabela de depreciação.  </w:t>
      </w:r>
    </w:p>
    <w:p w:rsidR="00126856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Outras Variações Patrimoniais Diminutivas</w:t>
      </w:r>
      <w:r w:rsidRPr="00C3691D">
        <w:rPr>
          <w:rFonts w:eastAsia="Times New Roman" w:cs="Arial"/>
          <w:bCs/>
          <w:lang w:eastAsia="pt-BR"/>
        </w:rPr>
        <w:t>: compreende o somatório das demais variações patrimoniais diminutivas não incluídas (classificadas) nos grupos anteriores, tais como: resultado negativo da equivalência patrimonial, dividendos, premiações, subvenções. As reservas matemáticas afetaram bastante pois, as projeções remetem a um passivo comprometedor.</w:t>
      </w:r>
    </w:p>
    <w:p w:rsidR="00126856" w:rsidRPr="0009100C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Desvalorização e Perda de Ativos e Incorporação de Passivos</w:t>
      </w:r>
      <w:r w:rsidRPr="0009100C">
        <w:rPr>
          <w:rFonts w:eastAsia="Times New Roman" w:cs="Arial"/>
          <w:bCs/>
          <w:lang w:eastAsia="pt-BR"/>
        </w:rPr>
        <w:t>:  registrados nestas contas em cumprimento dos procedimentos contábeis relativos a NBCASP, a reavaliação do Ativo Imobilizado, depreciação amortização e exaustão, ajustes de bens, valores e créditos, incorporação de passivos e obrigações, bem como operações de crédito. As Perdas involuntárias nas aplicações, que foram expressivas, foram registradas em contas redutoras.</w:t>
      </w:r>
      <w:r w:rsidRPr="0009100C">
        <w:rPr>
          <w:rFonts w:eastAsia="Times New Roman" w:cs="Arial"/>
          <w:bCs/>
          <w:lang w:eastAsia="pt-BR"/>
        </w:rPr>
        <w:tab/>
      </w:r>
    </w:p>
    <w:p w:rsidR="00126856" w:rsidRPr="0009100C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Outras Variações Patrimoniais Diminutivas</w:t>
      </w:r>
      <w:r w:rsidRPr="0009100C">
        <w:rPr>
          <w:rFonts w:eastAsia="Times New Roman" w:cs="Arial"/>
          <w:bCs/>
          <w:lang w:eastAsia="pt-BR"/>
        </w:rPr>
        <w:t xml:space="preserve"> – Compreendem resultado negativo da equivalência Patrimonial, dividendos, outros não registrados anteriormente, constituição de provisões em especial as provisões matemáticas previdenciárias do RPPS</w:t>
      </w:r>
      <w:r>
        <w:rPr>
          <w:rFonts w:eastAsia="Times New Roman" w:cs="Arial"/>
          <w:bCs/>
          <w:lang w:eastAsia="pt-BR"/>
        </w:rPr>
        <w:t>.</w:t>
      </w:r>
    </w:p>
    <w:p w:rsidR="00126856" w:rsidRPr="0009100C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  <w:r w:rsidRPr="0009100C">
        <w:rPr>
          <w:rFonts w:eastAsia="Times New Roman" w:cs="Arial"/>
          <w:b/>
          <w:bCs/>
          <w:lang w:eastAsia="pt-BR"/>
        </w:rPr>
        <w:t>Resultado Patrimonial do Período</w:t>
      </w:r>
      <w:r w:rsidRPr="0009100C">
        <w:rPr>
          <w:rFonts w:eastAsia="Times New Roman" w:cs="Arial"/>
          <w:bCs/>
          <w:lang w:eastAsia="pt-BR"/>
        </w:rPr>
        <w:t>: como resultado do confronto entre as Variações Patrimoniais Aumentativas e Diminutivas, em relação ao exercício anterior, neste exercício o resultado patrimonial foi menor.</w:t>
      </w:r>
    </w:p>
    <w:p w:rsidR="00126856" w:rsidRPr="0009100C" w:rsidRDefault="00126856" w:rsidP="00126856">
      <w:r w:rsidRPr="0009100C">
        <w:t>Acesse as demais notas explicativas no endereço:</w:t>
      </w:r>
    </w:p>
    <w:p w:rsidR="00126856" w:rsidRDefault="00126856" w:rsidP="00126856">
      <w:hyperlink r:id="rId7" w:history="1">
        <w:r w:rsidRPr="008129C4">
          <w:rPr>
            <w:rStyle w:val="Hyperlink"/>
          </w:rPr>
          <w:t>https://www.saomartinho.rs.gov.br</w:t>
        </w:r>
      </w:hyperlink>
    </w:p>
    <w:p w:rsidR="00126856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</w:p>
    <w:p w:rsidR="00126856" w:rsidRDefault="00126856" w:rsidP="00126856">
      <w:pPr>
        <w:spacing w:after="0" w:line="240" w:lineRule="auto"/>
        <w:jc w:val="both"/>
        <w:rPr>
          <w:rFonts w:eastAsia="Times New Roman" w:cs="Arial"/>
          <w:bCs/>
          <w:lang w:eastAsia="pt-BR"/>
        </w:rPr>
      </w:pPr>
    </w:p>
    <w:p w:rsidR="00126856" w:rsidRDefault="00126856" w:rsidP="00126856"/>
    <w:p w:rsidR="00126856" w:rsidRDefault="00126856" w:rsidP="00126856"/>
    <w:p w:rsidR="00126856" w:rsidRDefault="00126856"/>
    <w:sectPr w:rsidR="00126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56"/>
    <w:rsid w:val="00126856"/>
    <w:rsid w:val="004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88F2"/>
  <w15:chartTrackingRefBased/>
  <w15:docId w15:val="{1AD39A65-FDA2-446F-A7EF-6F95D957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6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omartinho.r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omartinho.rs.gov.br" TargetMode="External"/><Relationship Id="rId5" Type="http://schemas.openxmlformats.org/officeDocument/2006/relationships/hyperlink" Target="https://www.saomartinho.rs.gov.br" TargetMode="External"/><Relationship Id="rId4" Type="http://schemas.openxmlformats.org/officeDocument/2006/relationships/hyperlink" Target="https://www.saomartinho.rs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</cp:revision>
  <dcterms:created xsi:type="dcterms:W3CDTF">2021-03-23T11:13:00Z</dcterms:created>
  <dcterms:modified xsi:type="dcterms:W3CDTF">2021-03-23T11:16:00Z</dcterms:modified>
</cp:coreProperties>
</file>